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74CAD" w14:textId="77777777" w:rsidR="00EA7DF2" w:rsidRPr="00EA7DF2" w:rsidRDefault="00EA7DF2" w:rsidP="00EA7DF2">
      <w:pPr>
        <w:spacing w:after="100" w:afterAutospacing="1"/>
        <w:outlineLvl w:val="0"/>
        <w:rPr>
          <w:rFonts w:ascii="var(--primary-font-family)" w:eastAsia="Times New Roman" w:hAnsi="var(--primary-font-family)" w:cs="Times New Roman"/>
          <w:b/>
          <w:bCs/>
          <w:kern w:val="36"/>
          <w:sz w:val="48"/>
          <w:szCs w:val="48"/>
          <w:lang w:eastAsia="sv-SE"/>
        </w:rPr>
      </w:pPr>
      <w:r w:rsidRPr="00EA7DF2">
        <w:rPr>
          <w:rFonts w:ascii="var(--primary-font-family)" w:eastAsia="Times New Roman" w:hAnsi="var(--primary-font-family)" w:cs="Times New Roman"/>
          <w:b/>
          <w:bCs/>
          <w:kern w:val="36"/>
          <w:sz w:val="48"/>
          <w:szCs w:val="48"/>
          <w:lang w:eastAsia="sv-SE"/>
        </w:rPr>
        <w:t>Försäkringsinformation för lag och ungdom</w:t>
      </w:r>
    </w:p>
    <w:p w14:paraId="1AC54E3C"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b/>
          <w:bCs/>
          <w:color w:val="222222"/>
          <w:sz w:val="27"/>
          <w:szCs w:val="27"/>
          <w:lang w:eastAsia="sv-SE"/>
        </w:rPr>
        <w:t>Försäkringsinformation 2023/2024</w:t>
      </w:r>
    </w:p>
    <w:p w14:paraId="1E570EEB"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b/>
          <w:bCs/>
          <w:color w:val="222222"/>
          <w:sz w:val="27"/>
          <w:szCs w:val="27"/>
          <w:lang w:eastAsia="sv-SE"/>
        </w:rPr>
        <w:t>Försäkring</w:t>
      </w:r>
    </w:p>
    <w:p w14:paraId="0CE40CEA"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 xml:space="preserve">Svenska Ishockeyförbundets försäkringsbolag är </w:t>
      </w:r>
      <w:proofErr w:type="spellStart"/>
      <w:r w:rsidRPr="00EA7DF2">
        <w:rPr>
          <w:rFonts w:ascii="Arial" w:eastAsia="Times New Roman" w:hAnsi="Arial" w:cs="Arial"/>
          <w:color w:val="222222"/>
          <w:sz w:val="27"/>
          <w:szCs w:val="27"/>
          <w:lang w:eastAsia="sv-SE"/>
        </w:rPr>
        <w:t>Gjensidige</w:t>
      </w:r>
      <w:proofErr w:type="spellEnd"/>
      <w:r w:rsidRPr="00EA7DF2">
        <w:rPr>
          <w:rFonts w:ascii="Arial" w:eastAsia="Times New Roman" w:hAnsi="Arial" w:cs="Arial"/>
          <w:color w:val="222222"/>
          <w:sz w:val="27"/>
          <w:szCs w:val="27"/>
          <w:lang w:eastAsia="sv-SE"/>
        </w:rPr>
        <w:t xml:space="preserve">. De är en av nordens största aktörer inom idrottsförsäkring och har över 20 stycken idrottsförbund som kunder med över 1 miljon idrottsutövare per år. </w:t>
      </w:r>
      <w:proofErr w:type="spellStart"/>
      <w:r w:rsidRPr="00EA7DF2">
        <w:rPr>
          <w:rFonts w:ascii="Arial" w:eastAsia="Times New Roman" w:hAnsi="Arial" w:cs="Arial"/>
          <w:color w:val="222222"/>
          <w:sz w:val="27"/>
          <w:szCs w:val="27"/>
          <w:lang w:eastAsia="sv-SE"/>
        </w:rPr>
        <w:t>Gjensidige</w:t>
      </w:r>
      <w:proofErr w:type="spellEnd"/>
      <w:r w:rsidRPr="00EA7DF2">
        <w:rPr>
          <w:rFonts w:ascii="Arial" w:eastAsia="Times New Roman" w:hAnsi="Arial" w:cs="Arial"/>
          <w:color w:val="222222"/>
          <w:sz w:val="27"/>
          <w:szCs w:val="27"/>
          <w:lang w:eastAsia="sv-SE"/>
        </w:rPr>
        <w:t xml:space="preserve"> hanterar över 11 000 idrottsskador per år.</w:t>
      </w:r>
    </w:p>
    <w:p w14:paraId="23D021AF"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 xml:space="preserve">Från om med 2019-10-01 omfattas du som är aktiv i en förening som ingår i Svenska Ishockeyförbundets av </w:t>
      </w:r>
      <w:proofErr w:type="spellStart"/>
      <w:r w:rsidRPr="00EA7DF2">
        <w:rPr>
          <w:rFonts w:ascii="Arial" w:eastAsia="Times New Roman" w:hAnsi="Arial" w:cs="Arial"/>
          <w:color w:val="222222"/>
          <w:sz w:val="27"/>
          <w:szCs w:val="27"/>
          <w:lang w:eastAsia="sv-SE"/>
        </w:rPr>
        <w:t>Gjensidiges</w:t>
      </w:r>
      <w:proofErr w:type="spellEnd"/>
      <w:r w:rsidRPr="00EA7DF2">
        <w:rPr>
          <w:rFonts w:ascii="Arial" w:eastAsia="Times New Roman" w:hAnsi="Arial" w:cs="Arial"/>
          <w:color w:val="222222"/>
          <w:sz w:val="27"/>
          <w:szCs w:val="27"/>
          <w:lang w:eastAsia="sv-SE"/>
        </w:rPr>
        <w:t xml:space="preserve"> olycksfallsförsäkring.</w:t>
      </w:r>
    </w:p>
    <w:p w14:paraId="02A904A7"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hyperlink r:id="rId5" w:tgtFrame="_blank" w:history="1">
        <w:r w:rsidRPr="00EA7DF2">
          <w:rPr>
            <w:rFonts w:ascii="Arial" w:eastAsia="Times New Roman" w:hAnsi="Arial" w:cs="Arial"/>
            <w:color w:val="0000FF"/>
            <w:sz w:val="27"/>
            <w:szCs w:val="27"/>
            <w:u w:val="single"/>
            <w:lang w:eastAsia="sv-SE"/>
          </w:rPr>
          <w:t>www.gjensidige.se/ishockey</w:t>
        </w:r>
      </w:hyperlink>
    </w:p>
    <w:p w14:paraId="2924387C"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Försäkringen är framtagen av Svenska Ishockeyförbundet tillsammans med Söderberg &amp; Partners.</w:t>
      </w:r>
    </w:p>
    <w:p w14:paraId="6D97C144"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Försäkringen omfattar skada till följd av olycksfall och ger dig ett skydd, till exempel om du råkar ut för en skada under träning eller match.</w:t>
      </w:r>
    </w:p>
    <w:p w14:paraId="71DE44D6"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Försäkringen ger endast ett grundläggande skydd.  Lag- och licensförsäkringen är inte lika omfattande som en privat försäkring men innehåller däremot de viktigaste delarna i en olycksfallsförsäkring som till exempel invaliditet och tandskador.</w:t>
      </w:r>
    </w:p>
    <w:p w14:paraId="7703BEC0"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Nyheter från och med 2019-10-01 </w:t>
      </w:r>
    </w:p>
    <w:p w14:paraId="65B9B313"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b/>
          <w:bCs/>
          <w:color w:val="222222"/>
          <w:sz w:val="27"/>
          <w:szCs w:val="27"/>
          <w:lang w:eastAsia="sv-SE"/>
        </w:rPr>
        <w:t>Bättre villkor:</w:t>
      </w:r>
    </w:p>
    <w:p w14:paraId="2017CC53"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Från och med 2019-10-01 sänks självrisken på akutskadeersättningen från 2200 till 500 kr</w:t>
      </w:r>
    </w:p>
    <w:p w14:paraId="4C065F9F"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b/>
          <w:bCs/>
          <w:color w:val="222222"/>
          <w:sz w:val="27"/>
          <w:szCs w:val="27"/>
          <w:lang w:eastAsia="sv-SE"/>
        </w:rPr>
        <w:t>Aktiv Vård - Ny tjänst:</w:t>
      </w:r>
    </w:p>
    <w:p w14:paraId="2B8F3DF1"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Svenska Ishockeyförbundets medlemmar erbjuds Telefonrådgivning med legitimerad sjukvårdspersonal – sjuksystrar och fysioterapeuter - i samband med symptom och/eller skada. (Telefonrådgivning obegränsat i antal och utan självrisk).</w:t>
      </w:r>
    </w:p>
    <w:p w14:paraId="3147FE99"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lastRenderedPageBreak/>
        <w:t>Rådgivningen ger inte automatisk rätt till vård, men erfarenhet visar att samtal med professionell kompetens som kan ge råd och stöd för exempelvis hemmaträning kan bidra till att skadan blir mindre allvarlig.</w:t>
      </w:r>
    </w:p>
    <w:p w14:paraId="31FF0854"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Som tillägg ges möjlighet att vid behov komplettera ovan rådgivning med vård av legitimerade fysioterapeuter. (Tre behandlingar med en självrisk på 200 kr per behandling)</w:t>
      </w:r>
    </w:p>
    <w:p w14:paraId="1FEF42B4"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b/>
          <w:bCs/>
          <w:color w:val="222222"/>
          <w:sz w:val="27"/>
          <w:szCs w:val="27"/>
          <w:lang w:eastAsia="sv-SE"/>
        </w:rPr>
        <w:t>Aktiv vård tel. 0771-362 330</w:t>
      </w:r>
    </w:p>
    <w:p w14:paraId="38DEB21B"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b/>
          <w:bCs/>
          <w:color w:val="222222"/>
          <w:sz w:val="27"/>
          <w:szCs w:val="27"/>
          <w:lang w:eastAsia="sv-SE"/>
        </w:rPr>
        <w:t>Öppet vardagar 08.00-17.00</w:t>
      </w:r>
    </w:p>
    <w:p w14:paraId="526390EC"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Kontakta gärna vår försäkringsförmedlare på Söderberg &amp; Partners vid eventuella frågor eller om ni vill ha hjälp med att komplettera ert försäkringsskydd.</w:t>
      </w:r>
    </w:p>
    <w:p w14:paraId="50BB82C7"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b/>
          <w:bCs/>
          <w:color w:val="222222"/>
          <w:sz w:val="27"/>
          <w:szCs w:val="27"/>
          <w:lang w:eastAsia="sv-SE"/>
        </w:rPr>
        <w:t>Söderberg &amp; Partners</w:t>
      </w:r>
      <w:r w:rsidRPr="00EA7DF2">
        <w:rPr>
          <w:rFonts w:ascii="Arial" w:eastAsia="Times New Roman" w:hAnsi="Arial" w:cs="Arial"/>
          <w:b/>
          <w:bCs/>
          <w:color w:val="222222"/>
          <w:sz w:val="27"/>
          <w:szCs w:val="27"/>
          <w:lang w:eastAsia="sv-SE"/>
        </w:rPr>
        <w:br/>
      </w:r>
      <w:r w:rsidRPr="00EA7DF2">
        <w:rPr>
          <w:rFonts w:ascii="Arial" w:eastAsia="Times New Roman" w:hAnsi="Arial" w:cs="Arial"/>
          <w:color w:val="222222"/>
          <w:sz w:val="27"/>
          <w:szCs w:val="27"/>
          <w:lang w:eastAsia="sv-SE"/>
        </w:rPr>
        <w:t>Fredsgatan 12</w:t>
      </w:r>
      <w:r w:rsidRPr="00EA7DF2">
        <w:rPr>
          <w:rFonts w:ascii="Arial" w:eastAsia="Times New Roman" w:hAnsi="Arial" w:cs="Arial"/>
          <w:color w:val="222222"/>
          <w:sz w:val="27"/>
          <w:szCs w:val="27"/>
          <w:lang w:eastAsia="sv-SE"/>
        </w:rPr>
        <w:br/>
        <w:t>111 52 Stockholm</w:t>
      </w:r>
      <w:r w:rsidRPr="00EA7DF2">
        <w:rPr>
          <w:rFonts w:ascii="Arial" w:eastAsia="Times New Roman" w:hAnsi="Arial" w:cs="Arial"/>
          <w:color w:val="222222"/>
          <w:sz w:val="27"/>
          <w:szCs w:val="27"/>
          <w:lang w:eastAsia="sv-SE"/>
        </w:rPr>
        <w:br/>
        <w:t>070-303 32 36</w:t>
      </w:r>
      <w:r w:rsidRPr="00EA7DF2">
        <w:rPr>
          <w:rFonts w:ascii="Arial" w:eastAsia="Times New Roman" w:hAnsi="Arial" w:cs="Arial"/>
          <w:color w:val="222222"/>
          <w:sz w:val="27"/>
          <w:szCs w:val="27"/>
          <w:lang w:eastAsia="sv-SE"/>
        </w:rPr>
        <w:br/>
      </w:r>
      <w:hyperlink r:id="rId6" w:history="1">
        <w:r w:rsidRPr="00EA7DF2">
          <w:rPr>
            <w:rFonts w:ascii="Arial" w:eastAsia="Times New Roman" w:hAnsi="Arial" w:cs="Arial"/>
            <w:color w:val="0000FF"/>
            <w:sz w:val="27"/>
            <w:szCs w:val="27"/>
            <w:u w:val="single"/>
            <w:lang w:eastAsia="sv-SE"/>
          </w:rPr>
          <w:t>www.sportforsakringar.se</w:t>
        </w:r>
      </w:hyperlink>
      <w:r w:rsidRPr="00EA7DF2">
        <w:rPr>
          <w:rFonts w:ascii="Arial" w:eastAsia="Times New Roman" w:hAnsi="Arial" w:cs="Arial"/>
          <w:color w:val="222222"/>
          <w:sz w:val="27"/>
          <w:szCs w:val="27"/>
          <w:lang w:eastAsia="sv-SE"/>
        </w:rPr>
        <w:t> </w:t>
      </w:r>
    </w:p>
    <w:p w14:paraId="4494EC5A"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b/>
          <w:bCs/>
          <w:color w:val="222222"/>
          <w:sz w:val="27"/>
          <w:szCs w:val="27"/>
          <w:lang w:eastAsia="sv-SE"/>
        </w:rPr>
        <w:t>Vad är en olycksfallsskada?</w:t>
      </w:r>
    </w:p>
    <w:p w14:paraId="203C0D4B"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Med olycksfallsskada menas en kroppsskada som den försäkrade drabbas av genom en oförutsedd plötslig yttre händelse. Psykiska besvär betraktas inte som kroppsskada. Med olycksfallsskada jämställs i denna försäkring kroppsskada utan oförutsedd plötslig yttre händelse vid</w:t>
      </w:r>
    </w:p>
    <w:p w14:paraId="3AD6AC7F" w14:textId="77777777" w:rsidR="00EA7DF2" w:rsidRPr="00EA7DF2" w:rsidRDefault="00EA7DF2" w:rsidP="00EA7DF2">
      <w:pPr>
        <w:numPr>
          <w:ilvl w:val="0"/>
          <w:numId w:val="1"/>
        </w:numPr>
        <w:shd w:val="clear" w:color="auto" w:fill="FFFFFF"/>
        <w:spacing w:before="100" w:beforeAutospacing="1"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total hälseneruptur (helt avsliten hälsena) </w:t>
      </w:r>
    </w:p>
    <w:p w14:paraId="58A44B18" w14:textId="77777777" w:rsidR="00EA7DF2" w:rsidRPr="00EA7DF2" w:rsidRDefault="00EA7DF2" w:rsidP="00EA7DF2">
      <w:pPr>
        <w:numPr>
          <w:ilvl w:val="0"/>
          <w:numId w:val="2"/>
        </w:numPr>
        <w:shd w:val="clear" w:color="auto" w:fill="FFFFFF"/>
        <w:spacing w:before="100" w:beforeAutospacing="1"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ledbandsruptur i fotled eller knä (till exempel avslitet korsband)</w:t>
      </w:r>
    </w:p>
    <w:p w14:paraId="31E1B215" w14:textId="77777777" w:rsidR="00EA7DF2" w:rsidRPr="00EA7DF2" w:rsidRDefault="00EA7DF2" w:rsidP="00EA7DF2">
      <w:pPr>
        <w:numPr>
          <w:ilvl w:val="0"/>
          <w:numId w:val="3"/>
        </w:numPr>
        <w:shd w:val="clear" w:color="auto" w:fill="FFFFFF"/>
        <w:spacing w:before="100" w:beforeAutospacing="1"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fraktur (dock inte stressfraktur)</w:t>
      </w:r>
    </w:p>
    <w:p w14:paraId="3A79ABB7" w14:textId="77777777" w:rsidR="00EA7DF2" w:rsidRPr="00EA7DF2" w:rsidRDefault="00EA7DF2" w:rsidP="00EA7DF2">
      <w:pPr>
        <w:numPr>
          <w:ilvl w:val="0"/>
          <w:numId w:val="4"/>
        </w:numPr>
        <w:shd w:val="clear" w:color="auto" w:fill="FFFFFF"/>
        <w:spacing w:before="100" w:beforeAutospacing="1"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solsting, värmeslag och förfrysning</w:t>
      </w:r>
    </w:p>
    <w:p w14:paraId="68BD6E62"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Skador orsakade av förslitning, överbelastning eller överansträngning räknas inte som olycksfallsskada och ersätts vanligtvis inte även om besvären infunnit sig i samband med idrott.</w:t>
      </w:r>
    </w:p>
    <w:p w14:paraId="46409CD0"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Vid skada gäller alltid det fullständiga villkoret. </w:t>
      </w:r>
    </w:p>
    <w:p w14:paraId="79DE6F6D" w14:textId="77777777" w:rsidR="00EA7DF2" w:rsidRDefault="00EA7DF2" w:rsidP="00EA7DF2">
      <w:pPr>
        <w:shd w:val="clear" w:color="auto" w:fill="FFFFFF"/>
        <w:spacing w:after="100" w:afterAutospacing="1"/>
        <w:rPr>
          <w:rFonts w:ascii="Arial" w:eastAsia="Times New Roman" w:hAnsi="Arial" w:cs="Arial"/>
          <w:b/>
          <w:bCs/>
          <w:color w:val="222222"/>
          <w:sz w:val="27"/>
          <w:szCs w:val="27"/>
          <w:lang w:eastAsia="sv-SE"/>
        </w:rPr>
      </w:pPr>
    </w:p>
    <w:p w14:paraId="07D014CF" w14:textId="77777777" w:rsidR="00EA7DF2" w:rsidRDefault="00EA7DF2" w:rsidP="00EA7DF2">
      <w:pPr>
        <w:shd w:val="clear" w:color="auto" w:fill="FFFFFF"/>
        <w:spacing w:after="100" w:afterAutospacing="1"/>
        <w:rPr>
          <w:rFonts w:ascii="Arial" w:eastAsia="Times New Roman" w:hAnsi="Arial" w:cs="Arial"/>
          <w:b/>
          <w:bCs/>
          <w:color w:val="222222"/>
          <w:sz w:val="27"/>
          <w:szCs w:val="27"/>
          <w:lang w:eastAsia="sv-SE"/>
        </w:rPr>
      </w:pPr>
    </w:p>
    <w:p w14:paraId="37CCB107" w14:textId="6565A74D"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b/>
          <w:bCs/>
          <w:color w:val="222222"/>
          <w:sz w:val="27"/>
          <w:szCs w:val="27"/>
          <w:lang w:eastAsia="sv-SE"/>
        </w:rPr>
        <w:lastRenderedPageBreak/>
        <w:t>Vilka är försäkrade?</w:t>
      </w:r>
    </w:p>
    <w:p w14:paraId="42B02EBD"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b/>
          <w:bCs/>
          <w:color w:val="222222"/>
          <w:sz w:val="27"/>
          <w:szCs w:val="27"/>
          <w:lang w:eastAsia="sv-SE"/>
        </w:rPr>
        <w:t>LAGFÖRSÄKRING</w:t>
      </w:r>
    </w:p>
    <w:p w14:paraId="7BFDD04A"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Försäkrade är de spelare som ingår i ett lag för vilket lagförsäkringsavgift är betald till distriktsförbundet. OBS! För att försäkringen ska vara giltig ska spelarna också vara registrerade i spelarkortsregistret (</w:t>
      </w:r>
      <w:proofErr w:type="spellStart"/>
      <w:r w:rsidRPr="00EA7DF2">
        <w:rPr>
          <w:rFonts w:ascii="Arial" w:eastAsia="Times New Roman" w:hAnsi="Arial" w:cs="Arial"/>
          <w:color w:val="222222"/>
          <w:sz w:val="27"/>
          <w:szCs w:val="27"/>
          <w:lang w:eastAsia="sv-SE"/>
        </w:rPr>
        <w:t>TSM</w:t>
      </w:r>
      <w:proofErr w:type="spellEnd"/>
      <w:r w:rsidRPr="00EA7DF2">
        <w:rPr>
          <w:rFonts w:ascii="Arial" w:eastAsia="Times New Roman" w:hAnsi="Arial" w:cs="Arial"/>
          <w:color w:val="222222"/>
          <w:sz w:val="27"/>
          <w:szCs w:val="27"/>
          <w:lang w:eastAsia="sv-SE"/>
        </w:rPr>
        <w:t>). Samtliga spelare ska vara registrerade i Spelarkortsregistret (</w:t>
      </w:r>
      <w:proofErr w:type="spellStart"/>
      <w:r w:rsidRPr="00EA7DF2">
        <w:rPr>
          <w:rFonts w:ascii="Arial" w:eastAsia="Times New Roman" w:hAnsi="Arial" w:cs="Arial"/>
          <w:color w:val="222222"/>
          <w:sz w:val="27"/>
          <w:szCs w:val="27"/>
          <w:lang w:eastAsia="sv-SE"/>
        </w:rPr>
        <w:t>TSM</w:t>
      </w:r>
      <w:proofErr w:type="spellEnd"/>
      <w:r w:rsidRPr="00EA7DF2">
        <w:rPr>
          <w:rFonts w:ascii="Arial" w:eastAsia="Times New Roman" w:hAnsi="Arial" w:cs="Arial"/>
          <w:color w:val="222222"/>
          <w:sz w:val="27"/>
          <w:szCs w:val="27"/>
          <w:lang w:eastAsia="sv-SE"/>
        </w:rPr>
        <w:t>).</w:t>
      </w:r>
    </w:p>
    <w:p w14:paraId="532C9999"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b/>
          <w:bCs/>
          <w:color w:val="222222"/>
          <w:sz w:val="27"/>
          <w:szCs w:val="27"/>
          <w:lang w:eastAsia="sv-SE"/>
        </w:rPr>
        <w:t>UNGDOMSFÖRSÄKRINGEN</w:t>
      </w:r>
    </w:p>
    <w:p w14:paraId="710D6004"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Försäkrade är ungdomar, yngre än 10 år, inom förening ansluten till Svenska Ishockeyförbundet. Ungdomsförsäkringen är premiefri.</w:t>
      </w:r>
    </w:p>
    <w:p w14:paraId="292966B3"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b/>
          <w:bCs/>
          <w:color w:val="222222"/>
          <w:sz w:val="27"/>
          <w:szCs w:val="27"/>
          <w:lang w:eastAsia="sv-SE"/>
        </w:rPr>
        <w:t>När gäller försäkringen?</w:t>
      </w:r>
    </w:p>
    <w:p w14:paraId="3455B493"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Försäkringen gäller vid olycksfallsskada som inträffar under deltagande i av Svenska Ishockeyförbundet, distriktsishockeyförbund eller av förening anordnad match, organiserad träning i ishockey eller ishockeyskola samt under direkt färd till och från dessa aktiviteter. Då aktivitet sker på annan ort än hemorten (även utomlands), gäller försäkringen också under resor och vistelse i samband med denna.</w:t>
      </w:r>
    </w:p>
    <w:p w14:paraId="56FD332F"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b/>
          <w:bCs/>
          <w:color w:val="222222"/>
          <w:sz w:val="27"/>
          <w:szCs w:val="27"/>
          <w:lang w:eastAsia="sv-SE"/>
        </w:rPr>
        <w:t>Ersättningar</w:t>
      </w:r>
    </w:p>
    <w:p w14:paraId="4AA16C5D"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Försäkringen är ett grundskydd som kort kan beskrivas så här:</w:t>
      </w:r>
    </w:p>
    <w:tbl>
      <w:tblPr>
        <w:tblW w:w="999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995"/>
        <w:gridCol w:w="4995"/>
      </w:tblGrid>
      <w:tr w:rsidR="00EA7DF2" w:rsidRPr="00EA7DF2" w14:paraId="654B0863" w14:textId="77777777" w:rsidTr="00EA7DF2">
        <w:tc>
          <w:tcPr>
            <w:tcW w:w="4988" w:type="dxa"/>
            <w:tcBorders>
              <w:top w:val="outset" w:sz="6" w:space="0" w:color="auto"/>
              <w:left w:val="outset" w:sz="6" w:space="0" w:color="auto"/>
              <w:bottom w:val="outset" w:sz="6" w:space="0" w:color="auto"/>
              <w:right w:val="outset" w:sz="6" w:space="0" w:color="auto"/>
            </w:tcBorders>
            <w:vAlign w:val="center"/>
            <w:hideMark/>
          </w:tcPr>
          <w:p w14:paraId="2DC700E8" w14:textId="77777777" w:rsidR="00EA7DF2" w:rsidRPr="00EA7DF2" w:rsidRDefault="00EA7DF2" w:rsidP="00EA7DF2">
            <w:pPr>
              <w:rPr>
                <w:rFonts w:ascii="Times New Roman" w:eastAsia="Times New Roman" w:hAnsi="Times New Roman" w:cs="Times New Roman"/>
                <w:lang w:eastAsia="sv-SE"/>
              </w:rPr>
            </w:pPr>
            <w:r w:rsidRPr="00EA7DF2">
              <w:rPr>
                <w:rFonts w:ascii="Times New Roman" w:eastAsia="Times New Roman" w:hAnsi="Times New Roman" w:cs="Times New Roman"/>
                <w:lang w:eastAsia="sv-SE"/>
              </w:rPr>
              <w:t>Akutersättning  </w:t>
            </w:r>
          </w:p>
        </w:tc>
        <w:tc>
          <w:tcPr>
            <w:tcW w:w="4988" w:type="dxa"/>
            <w:tcBorders>
              <w:top w:val="outset" w:sz="6" w:space="0" w:color="auto"/>
              <w:left w:val="outset" w:sz="6" w:space="0" w:color="auto"/>
              <w:bottom w:val="outset" w:sz="6" w:space="0" w:color="auto"/>
              <w:right w:val="outset" w:sz="6" w:space="0" w:color="auto"/>
            </w:tcBorders>
            <w:vAlign w:val="center"/>
            <w:hideMark/>
          </w:tcPr>
          <w:p w14:paraId="467A84F2" w14:textId="77777777" w:rsidR="00EA7DF2" w:rsidRPr="00EA7DF2" w:rsidRDefault="00EA7DF2" w:rsidP="00EA7DF2">
            <w:pPr>
              <w:rPr>
                <w:rFonts w:ascii="Times New Roman" w:eastAsia="Times New Roman" w:hAnsi="Times New Roman" w:cs="Times New Roman"/>
                <w:lang w:eastAsia="sv-SE"/>
              </w:rPr>
            </w:pPr>
            <w:r w:rsidRPr="00EA7DF2">
              <w:rPr>
                <w:rFonts w:ascii="Times New Roman" w:eastAsia="Times New Roman" w:hAnsi="Times New Roman" w:cs="Times New Roman"/>
                <w:lang w:eastAsia="sv-SE"/>
              </w:rPr>
              <w:t>Högst 5 000 kr</w:t>
            </w:r>
          </w:p>
        </w:tc>
      </w:tr>
      <w:tr w:rsidR="00EA7DF2" w:rsidRPr="00EA7DF2" w14:paraId="08533307" w14:textId="77777777" w:rsidTr="00EA7DF2">
        <w:tc>
          <w:tcPr>
            <w:tcW w:w="4988" w:type="dxa"/>
            <w:tcBorders>
              <w:top w:val="outset" w:sz="6" w:space="0" w:color="auto"/>
              <w:left w:val="outset" w:sz="6" w:space="0" w:color="auto"/>
              <w:bottom w:val="outset" w:sz="6" w:space="0" w:color="auto"/>
              <w:right w:val="outset" w:sz="6" w:space="0" w:color="auto"/>
            </w:tcBorders>
            <w:vAlign w:val="center"/>
            <w:hideMark/>
          </w:tcPr>
          <w:p w14:paraId="0A8D9AF4" w14:textId="77777777" w:rsidR="00EA7DF2" w:rsidRPr="00EA7DF2" w:rsidRDefault="00EA7DF2" w:rsidP="00EA7DF2">
            <w:pPr>
              <w:rPr>
                <w:rFonts w:ascii="Times New Roman" w:eastAsia="Times New Roman" w:hAnsi="Times New Roman" w:cs="Times New Roman"/>
                <w:lang w:eastAsia="sv-SE"/>
              </w:rPr>
            </w:pPr>
            <w:r w:rsidRPr="00EA7DF2">
              <w:rPr>
                <w:rFonts w:ascii="Times New Roman" w:eastAsia="Times New Roman" w:hAnsi="Times New Roman" w:cs="Times New Roman"/>
                <w:lang w:eastAsia="sv-SE"/>
              </w:rPr>
              <w:t>Tandskadekostnader </w:t>
            </w:r>
          </w:p>
        </w:tc>
        <w:tc>
          <w:tcPr>
            <w:tcW w:w="4988" w:type="dxa"/>
            <w:tcBorders>
              <w:top w:val="outset" w:sz="6" w:space="0" w:color="auto"/>
              <w:left w:val="outset" w:sz="6" w:space="0" w:color="auto"/>
              <w:bottom w:val="outset" w:sz="6" w:space="0" w:color="auto"/>
              <w:right w:val="outset" w:sz="6" w:space="0" w:color="auto"/>
            </w:tcBorders>
            <w:vAlign w:val="center"/>
            <w:hideMark/>
          </w:tcPr>
          <w:p w14:paraId="757E4613" w14:textId="77777777" w:rsidR="00EA7DF2" w:rsidRPr="00EA7DF2" w:rsidRDefault="00EA7DF2" w:rsidP="00EA7DF2">
            <w:pPr>
              <w:rPr>
                <w:rFonts w:ascii="Times New Roman" w:eastAsia="Times New Roman" w:hAnsi="Times New Roman" w:cs="Times New Roman"/>
                <w:lang w:eastAsia="sv-SE"/>
              </w:rPr>
            </w:pPr>
            <w:r w:rsidRPr="00EA7DF2">
              <w:rPr>
                <w:rFonts w:ascii="Times New Roman" w:eastAsia="Times New Roman" w:hAnsi="Times New Roman" w:cs="Times New Roman"/>
                <w:lang w:eastAsia="sv-SE"/>
              </w:rPr>
              <w:t>Högst 1 prisbasbelopp</w:t>
            </w:r>
          </w:p>
        </w:tc>
      </w:tr>
      <w:tr w:rsidR="00EA7DF2" w:rsidRPr="00EA7DF2" w14:paraId="68FE2AD3" w14:textId="77777777" w:rsidTr="00EA7DF2">
        <w:tc>
          <w:tcPr>
            <w:tcW w:w="4988" w:type="dxa"/>
            <w:tcBorders>
              <w:top w:val="outset" w:sz="6" w:space="0" w:color="auto"/>
              <w:left w:val="outset" w:sz="6" w:space="0" w:color="auto"/>
              <w:bottom w:val="outset" w:sz="6" w:space="0" w:color="auto"/>
              <w:right w:val="outset" w:sz="6" w:space="0" w:color="auto"/>
            </w:tcBorders>
            <w:vAlign w:val="center"/>
            <w:hideMark/>
          </w:tcPr>
          <w:p w14:paraId="7AD94B36" w14:textId="77777777" w:rsidR="00EA7DF2" w:rsidRPr="00EA7DF2" w:rsidRDefault="00EA7DF2" w:rsidP="00EA7DF2">
            <w:pPr>
              <w:rPr>
                <w:rFonts w:ascii="Times New Roman" w:eastAsia="Times New Roman" w:hAnsi="Times New Roman" w:cs="Times New Roman"/>
                <w:lang w:eastAsia="sv-SE"/>
              </w:rPr>
            </w:pPr>
            <w:r w:rsidRPr="00EA7DF2">
              <w:rPr>
                <w:rFonts w:ascii="Times New Roman" w:eastAsia="Times New Roman" w:hAnsi="Times New Roman" w:cs="Times New Roman"/>
                <w:lang w:eastAsia="sv-SE"/>
              </w:rPr>
              <w:t>Sönderklippta kläder/utrustning i samband med vård </w:t>
            </w:r>
          </w:p>
        </w:tc>
        <w:tc>
          <w:tcPr>
            <w:tcW w:w="4988" w:type="dxa"/>
            <w:tcBorders>
              <w:top w:val="outset" w:sz="6" w:space="0" w:color="auto"/>
              <w:left w:val="outset" w:sz="6" w:space="0" w:color="auto"/>
              <w:bottom w:val="outset" w:sz="6" w:space="0" w:color="auto"/>
              <w:right w:val="outset" w:sz="6" w:space="0" w:color="auto"/>
            </w:tcBorders>
            <w:vAlign w:val="center"/>
            <w:hideMark/>
          </w:tcPr>
          <w:p w14:paraId="7D27553E" w14:textId="77777777" w:rsidR="00EA7DF2" w:rsidRPr="00EA7DF2" w:rsidRDefault="00EA7DF2" w:rsidP="00EA7DF2">
            <w:pPr>
              <w:rPr>
                <w:rFonts w:ascii="Times New Roman" w:eastAsia="Times New Roman" w:hAnsi="Times New Roman" w:cs="Times New Roman"/>
                <w:lang w:eastAsia="sv-SE"/>
              </w:rPr>
            </w:pPr>
            <w:r w:rsidRPr="00EA7DF2">
              <w:rPr>
                <w:rFonts w:ascii="Times New Roman" w:eastAsia="Times New Roman" w:hAnsi="Times New Roman" w:cs="Times New Roman"/>
                <w:lang w:eastAsia="sv-SE"/>
              </w:rPr>
              <w:t>Högst 15 % av ett prisbasbelopp</w:t>
            </w:r>
          </w:p>
        </w:tc>
      </w:tr>
      <w:tr w:rsidR="00EA7DF2" w:rsidRPr="00EA7DF2" w14:paraId="7E4E0DD6" w14:textId="77777777" w:rsidTr="00EA7DF2">
        <w:tc>
          <w:tcPr>
            <w:tcW w:w="4988" w:type="dxa"/>
            <w:tcBorders>
              <w:top w:val="outset" w:sz="6" w:space="0" w:color="auto"/>
              <w:left w:val="outset" w:sz="6" w:space="0" w:color="auto"/>
              <w:bottom w:val="outset" w:sz="6" w:space="0" w:color="auto"/>
              <w:right w:val="outset" w:sz="6" w:space="0" w:color="auto"/>
            </w:tcBorders>
            <w:vAlign w:val="center"/>
            <w:hideMark/>
          </w:tcPr>
          <w:p w14:paraId="79BDD1DE" w14:textId="77777777" w:rsidR="00EA7DF2" w:rsidRPr="00EA7DF2" w:rsidRDefault="00EA7DF2" w:rsidP="00EA7DF2">
            <w:pPr>
              <w:rPr>
                <w:rFonts w:ascii="Times New Roman" w:eastAsia="Times New Roman" w:hAnsi="Times New Roman" w:cs="Times New Roman"/>
                <w:lang w:eastAsia="sv-SE"/>
              </w:rPr>
            </w:pPr>
            <w:r w:rsidRPr="00EA7DF2">
              <w:rPr>
                <w:rFonts w:ascii="Times New Roman" w:eastAsia="Times New Roman" w:hAnsi="Times New Roman" w:cs="Times New Roman"/>
                <w:b/>
                <w:bCs/>
                <w:lang w:eastAsia="sv-SE"/>
              </w:rPr>
              <w:t>Medicinsk invaliditet</w:t>
            </w:r>
          </w:p>
        </w:tc>
        <w:tc>
          <w:tcPr>
            <w:tcW w:w="4988" w:type="dxa"/>
            <w:tcBorders>
              <w:top w:val="outset" w:sz="6" w:space="0" w:color="auto"/>
              <w:left w:val="outset" w:sz="6" w:space="0" w:color="auto"/>
              <w:bottom w:val="outset" w:sz="6" w:space="0" w:color="auto"/>
              <w:right w:val="outset" w:sz="6" w:space="0" w:color="auto"/>
            </w:tcBorders>
            <w:vAlign w:val="center"/>
            <w:hideMark/>
          </w:tcPr>
          <w:p w14:paraId="02291D1A" w14:textId="77777777" w:rsidR="00EA7DF2" w:rsidRPr="00EA7DF2" w:rsidRDefault="00EA7DF2" w:rsidP="00EA7DF2">
            <w:pPr>
              <w:rPr>
                <w:rFonts w:ascii="Times New Roman" w:eastAsia="Times New Roman" w:hAnsi="Times New Roman" w:cs="Times New Roman"/>
                <w:lang w:eastAsia="sv-SE"/>
              </w:rPr>
            </w:pPr>
            <w:r w:rsidRPr="00EA7DF2">
              <w:rPr>
                <w:rFonts w:ascii="Times New Roman" w:eastAsia="Times New Roman" w:hAnsi="Times New Roman" w:cs="Times New Roman"/>
                <w:lang w:eastAsia="sv-SE"/>
              </w:rPr>
              <w:t> </w:t>
            </w:r>
          </w:p>
        </w:tc>
      </w:tr>
      <w:tr w:rsidR="00EA7DF2" w:rsidRPr="00EA7DF2" w14:paraId="6D49A709" w14:textId="77777777" w:rsidTr="00EA7DF2">
        <w:tc>
          <w:tcPr>
            <w:tcW w:w="4988" w:type="dxa"/>
            <w:tcBorders>
              <w:top w:val="outset" w:sz="6" w:space="0" w:color="auto"/>
              <w:left w:val="outset" w:sz="6" w:space="0" w:color="auto"/>
              <w:bottom w:val="outset" w:sz="6" w:space="0" w:color="auto"/>
              <w:right w:val="outset" w:sz="6" w:space="0" w:color="auto"/>
            </w:tcBorders>
            <w:vAlign w:val="center"/>
            <w:hideMark/>
          </w:tcPr>
          <w:p w14:paraId="1375CF12" w14:textId="77777777" w:rsidR="00EA7DF2" w:rsidRPr="00EA7DF2" w:rsidRDefault="00EA7DF2" w:rsidP="00EA7DF2">
            <w:pPr>
              <w:rPr>
                <w:rFonts w:ascii="Times New Roman" w:eastAsia="Times New Roman" w:hAnsi="Times New Roman" w:cs="Times New Roman"/>
                <w:lang w:eastAsia="sv-SE"/>
              </w:rPr>
            </w:pPr>
            <w:r w:rsidRPr="00EA7DF2">
              <w:rPr>
                <w:rFonts w:ascii="Times New Roman" w:eastAsia="Times New Roman" w:hAnsi="Times New Roman" w:cs="Times New Roman"/>
                <w:lang w:eastAsia="sv-SE"/>
              </w:rPr>
              <w:t>Vid invaliditetsgrader 1-5% </w:t>
            </w:r>
          </w:p>
        </w:tc>
        <w:tc>
          <w:tcPr>
            <w:tcW w:w="4988" w:type="dxa"/>
            <w:tcBorders>
              <w:top w:val="outset" w:sz="6" w:space="0" w:color="auto"/>
              <w:left w:val="outset" w:sz="6" w:space="0" w:color="auto"/>
              <w:bottom w:val="outset" w:sz="6" w:space="0" w:color="auto"/>
              <w:right w:val="outset" w:sz="6" w:space="0" w:color="auto"/>
            </w:tcBorders>
            <w:vAlign w:val="center"/>
            <w:hideMark/>
          </w:tcPr>
          <w:p w14:paraId="2995A78D" w14:textId="77777777" w:rsidR="00EA7DF2" w:rsidRPr="00EA7DF2" w:rsidRDefault="00EA7DF2" w:rsidP="00EA7DF2">
            <w:pPr>
              <w:rPr>
                <w:rFonts w:ascii="Times New Roman" w:eastAsia="Times New Roman" w:hAnsi="Times New Roman" w:cs="Times New Roman"/>
                <w:lang w:eastAsia="sv-SE"/>
              </w:rPr>
            </w:pPr>
            <w:r w:rsidRPr="00EA7DF2">
              <w:rPr>
                <w:rFonts w:ascii="Times New Roman" w:eastAsia="Times New Roman" w:hAnsi="Times New Roman" w:cs="Times New Roman"/>
                <w:lang w:eastAsia="sv-SE"/>
              </w:rPr>
              <w:t>Ersättning lämnas med 3 500 kr</w:t>
            </w:r>
          </w:p>
        </w:tc>
      </w:tr>
      <w:tr w:rsidR="00EA7DF2" w:rsidRPr="00EA7DF2" w14:paraId="4C6CEC6B" w14:textId="77777777" w:rsidTr="00EA7DF2">
        <w:tc>
          <w:tcPr>
            <w:tcW w:w="4988" w:type="dxa"/>
            <w:tcBorders>
              <w:top w:val="outset" w:sz="6" w:space="0" w:color="auto"/>
              <w:left w:val="outset" w:sz="6" w:space="0" w:color="auto"/>
              <w:bottom w:val="outset" w:sz="6" w:space="0" w:color="auto"/>
              <w:right w:val="outset" w:sz="6" w:space="0" w:color="auto"/>
            </w:tcBorders>
            <w:vAlign w:val="center"/>
            <w:hideMark/>
          </w:tcPr>
          <w:p w14:paraId="3D99E3CE" w14:textId="77777777" w:rsidR="00EA7DF2" w:rsidRPr="00EA7DF2" w:rsidRDefault="00EA7DF2" w:rsidP="00EA7DF2">
            <w:pPr>
              <w:rPr>
                <w:rFonts w:ascii="Times New Roman" w:eastAsia="Times New Roman" w:hAnsi="Times New Roman" w:cs="Times New Roman"/>
                <w:lang w:eastAsia="sv-SE"/>
              </w:rPr>
            </w:pPr>
            <w:r w:rsidRPr="00EA7DF2">
              <w:rPr>
                <w:rFonts w:ascii="Times New Roman" w:eastAsia="Times New Roman" w:hAnsi="Times New Roman" w:cs="Times New Roman"/>
                <w:lang w:eastAsia="sv-SE"/>
              </w:rPr>
              <w:t>Vid invaliditetsgrader 6-74% </w:t>
            </w:r>
          </w:p>
        </w:tc>
        <w:tc>
          <w:tcPr>
            <w:tcW w:w="4988" w:type="dxa"/>
            <w:tcBorders>
              <w:top w:val="outset" w:sz="6" w:space="0" w:color="auto"/>
              <w:left w:val="outset" w:sz="6" w:space="0" w:color="auto"/>
              <w:bottom w:val="outset" w:sz="6" w:space="0" w:color="auto"/>
              <w:right w:val="outset" w:sz="6" w:space="0" w:color="auto"/>
            </w:tcBorders>
            <w:vAlign w:val="center"/>
            <w:hideMark/>
          </w:tcPr>
          <w:p w14:paraId="53C52017" w14:textId="77777777" w:rsidR="00EA7DF2" w:rsidRPr="00EA7DF2" w:rsidRDefault="00EA7DF2" w:rsidP="00EA7DF2">
            <w:pPr>
              <w:rPr>
                <w:rFonts w:ascii="Times New Roman" w:eastAsia="Times New Roman" w:hAnsi="Times New Roman" w:cs="Times New Roman"/>
                <w:lang w:eastAsia="sv-SE"/>
              </w:rPr>
            </w:pPr>
            <w:r w:rsidRPr="00EA7DF2">
              <w:rPr>
                <w:rFonts w:ascii="Times New Roman" w:eastAsia="Times New Roman" w:hAnsi="Times New Roman" w:cs="Times New Roman"/>
                <w:lang w:eastAsia="sv-SE"/>
              </w:rPr>
              <w:t>Ersättningen beräknas på 350 000 kr</w:t>
            </w:r>
          </w:p>
        </w:tc>
      </w:tr>
      <w:tr w:rsidR="00EA7DF2" w:rsidRPr="00EA7DF2" w14:paraId="7BEFD92F" w14:textId="77777777" w:rsidTr="00EA7DF2">
        <w:tc>
          <w:tcPr>
            <w:tcW w:w="4988" w:type="dxa"/>
            <w:tcBorders>
              <w:top w:val="outset" w:sz="6" w:space="0" w:color="auto"/>
              <w:left w:val="outset" w:sz="6" w:space="0" w:color="auto"/>
              <w:bottom w:val="outset" w:sz="6" w:space="0" w:color="auto"/>
              <w:right w:val="outset" w:sz="6" w:space="0" w:color="auto"/>
            </w:tcBorders>
            <w:vAlign w:val="center"/>
            <w:hideMark/>
          </w:tcPr>
          <w:p w14:paraId="09B6AB74" w14:textId="77777777" w:rsidR="00EA7DF2" w:rsidRPr="00EA7DF2" w:rsidRDefault="00EA7DF2" w:rsidP="00EA7DF2">
            <w:pPr>
              <w:rPr>
                <w:rFonts w:ascii="Times New Roman" w:eastAsia="Times New Roman" w:hAnsi="Times New Roman" w:cs="Times New Roman"/>
                <w:lang w:eastAsia="sv-SE"/>
              </w:rPr>
            </w:pPr>
            <w:r w:rsidRPr="00EA7DF2">
              <w:rPr>
                <w:rFonts w:ascii="Times New Roman" w:eastAsia="Times New Roman" w:hAnsi="Times New Roman" w:cs="Times New Roman"/>
                <w:lang w:eastAsia="sv-SE"/>
              </w:rPr>
              <w:t>Vid invaliditetsgrader 75 % och högre </w:t>
            </w:r>
          </w:p>
        </w:tc>
        <w:tc>
          <w:tcPr>
            <w:tcW w:w="4988" w:type="dxa"/>
            <w:tcBorders>
              <w:top w:val="outset" w:sz="6" w:space="0" w:color="auto"/>
              <w:left w:val="outset" w:sz="6" w:space="0" w:color="auto"/>
              <w:bottom w:val="outset" w:sz="6" w:space="0" w:color="auto"/>
              <w:right w:val="outset" w:sz="6" w:space="0" w:color="auto"/>
            </w:tcBorders>
            <w:vAlign w:val="center"/>
            <w:hideMark/>
          </w:tcPr>
          <w:p w14:paraId="3FDC27CE" w14:textId="77777777" w:rsidR="00EA7DF2" w:rsidRPr="00EA7DF2" w:rsidRDefault="00EA7DF2" w:rsidP="00EA7DF2">
            <w:pPr>
              <w:rPr>
                <w:rFonts w:ascii="Times New Roman" w:eastAsia="Times New Roman" w:hAnsi="Times New Roman" w:cs="Times New Roman"/>
                <w:lang w:eastAsia="sv-SE"/>
              </w:rPr>
            </w:pPr>
            <w:r w:rsidRPr="00EA7DF2">
              <w:rPr>
                <w:rFonts w:ascii="Times New Roman" w:eastAsia="Times New Roman" w:hAnsi="Times New Roman" w:cs="Times New Roman"/>
                <w:lang w:eastAsia="sv-SE"/>
              </w:rPr>
              <w:t>Ersättningen beräknas på 700 000 kr</w:t>
            </w:r>
          </w:p>
        </w:tc>
      </w:tr>
      <w:tr w:rsidR="00EA7DF2" w:rsidRPr="00EA7DF2" w14:paraId="219CB956" w14:textId="77777777" w:rsidTr="00EA7DF2">
        <w:tc>
          <w:tcPr>
            <w:tcW w:w="4988" w:type="dxa"/>
            <w:tcBorders>
              <w:top w:val="outset" w:sz="6" w:space="0" w:color="auto"/>
              <w:left w:val="outset" w:sz="6" w:space="0" w:color="auto"/>
              <w:bottom w:val="outset" w:sz="6" w:space="0" w:color="auto"/>
              <w:right w:val="outset" w:sz="6" w:space="0" w:color="auto"/>
            </w:tcBorders>
            <w:vAlign w:val="center"/>
            <w:hideMark/>
          </w:tcPr>
          <w:p w14:paraId="3B6BC7A0" w14:textId="77777777" w:rsidR="00EA7DF2" w:rsidRPr="00EA7DF2" w:rsidRDefault="00EA7DF2" w:rsidP="00EA7DF2">
            <w:pPr>
              <w:rPr>
                <w:rFonts w:ascii="Times New Roman" w:eastAsia="Times New Roman" w:hAnsi="Times New Roman" w:cs="Times New Roman"/>
                <w:lang w:eastAsia="sv-SE"/>
              </w:rPr>
            </w:pPr>
            <w:r w:rsidRPr="00EA7DF2">
              <w:rPr>
                <w:rFonts w:ascii="Times New Roman" w:eastAsia="Times New Roman" w:hAnsi="Times New Roman" w:cs="Times New Roman"/>
                <w:b/>
                <w:bCs/>
                <w:lang w:eastAsia="sv-SE"/>
              </w:rPr>
              <w:t>Dödsfallsersättning</w:t>
            </w:r>
          </w:p>
        </w:tc>
        <w:tc>
          <w:tcPr>
            <w:tcW w:w="4988" w:type="dxa"/>
            <w:tcBorders>
              <w:top w:val="outset" w:sz="6" w:space="0" w:color="auto"/>
              <w:left w:val="outset" w:sz="6" w:space="0" w:color="auto"/>
              <w:bottom w:val="outset" w:sz="6" w:space="0" w:color="auto"/>
              <w:right w:val="outset" w:sz="6" w:space="0" w:color="auto"/>
            </w:tcBorders>
            <w:vAlign w:val="center"/>
            <w:hideMark/>
          </w:tcPr>
          <w:p w14:paraId="30D6202A" w14:textId="77777777" w:rsidR="00EA7DF2" w:rsidRPr="00EA7DF2" w:rsidRDefault="00EA7DF2" w:rsidP="00EA7DF2">
            <w:pPr>
              <w:rPr>
                <w:rFonts w:ascii="Times New Roman" w:eastAsia="Times New Roman" w:hAnsi="Times New Roman" w:cs="Times New Roman"/>
                <w:lang w:eastAsia="sv-SE"/>
              </w:rPr>
            </w:pPr>
            <w:r w:rsidRPr="00EA7DF2">
              <w:rPr>
                <w:rFonts w:ascii="Times New Roman" w:eastAsia="Times New Roman" w:hAnsi="Times New Roman" w:cs="Times New Roman"/>
                <w:lang w:eastAsia="sv-SE"/>
              </w:rPr>
              <w:t> </w:t>
            </w:r>
          </w:p>
        </w:tc>
      </w:tr>
      <w:tr w:rsidR="00EA7DF2" w:rsidRPr="00EA7DF2" w14:paraId="12066D42" w14:textId="77777777" w:rsidTr="00EA7DF2">
        <w:tc>
          <w:tcPr>
            <w:tcW w:w="4988" w:type="dxa"/>
            <w:tcBorders>
              <w:top w:val="outset" w:sz="6" w:space="0" w:color="auto"/>
              <w:left w:val="outset" w:sz="6" w:space="0" w:color="auto"/>
              <w:bottom w:val="outset" w:sz="6" w:space="0" w:color="auto"/>
              <w:right w:val="outset" w:sz="6" w:space="0" w:color="auto"/>
            </w:tcBorders>
            <w:vAlign w:val="center"/>
            <w:hideMark/>
          </w:tcPr>
          <w:p w14:paraId="147ED610" w14:textId="77777777" w:rsidR="00EA7DF2" w:rsidRPr="00EA7DF2" w:rsidRDefault="00EA7DF2" w:rsidP="00EA7DF2">
            <w:pPr>
              <w:rPr>
                <w:rFonts w:ascii="Times New Roman" w:eastAsia="Times New Roman" w:hAnsi="Times New Roman" w:cs="Times New Roman"/>
                <w:lang w:eastAsia="sv-SE"/>
              </w:rPr>
            </w:pPr>
            <w:r w:rsidRPr="00EA7DF2">
              <w:rPr>
                <w:rFonts w:ascii="Times New Roman" w:eastAsia="Times New Roman" w:hAnsi="Times New Roman" w:cs="Times New Roman"/>
                <w:lang w:eastAsia="sv-SE"/>
              </w:rPr>
              <w:t>Engångsbelopp oberoende av dödsorsak </w:t>
            </w:r>
          </w:p>
        </w:tc>
        <w:tc>
          <w:tcPr>
            <w:tcW w:w="4988" w:type="dxa"/>
            <w:tcBorders>
              <w:top w:val="outset" w:sz="6" w:space="0" w:color="auto"/>
              <w:left w:val="outset" w:sz="6" w:space="0" w:color="auto"/>
              <w:bottom w:val="outset" w:sz="6" w:space="0" w:color="auto"/>
              <w:right w:val="outset" w:sz="6" w:space="0" w:color="auto"/>
            </w:tcBorders>
            <w:vAlign w:val="center"/>
            <w:hideMark/>
          </w:tcPr>
          <w:p w14:paraId="60E6D1AB" w14:textId="77777777" w:rsidR="00EA7DF2" w:rsidRPr="00EA7DF2" w:rsidRDefault="00EA7DF2" w:rsidP="00EA7DF2">
            <w:pPr>
              <w:rPr>
                <w:rFonts w:ascii="Times New Roman" w:eastAsia="Times New Roman" w:hAnsi="Times New Roman" w:cs="Times New Roman"/>
                <w:lang w:eastAsia="sv-SE"/>
              </w:rPr>
            </w:pPr>
            <w:r w:rsidRPr="00EA7DF2">
              <w:rPr>
                <w:rFonts w:ascii="Times New Roman" w:eastAsia="Times New Roman" w:hAnsi="Times New Roman" w:cs="Times New Roman"/>
                <w:lang w:eastAsia="sv-SE"/>
              </w:rPr>
              <w:t>1 Prisbasbelopp </w:t>
            </w:r>
          </w:p>
        </w:tc>
      </w:tr>
      <w:tr w:rsidR="00EA7DF2" w:rsidRPr="00EA7DF2" w14:paraId="2A89BF70" w14:textId="77777777" w:rsidTr="00EA7DF2">
        <w:tc>
          <w:tcPr>
            <w:tcW w:w="4988" w:type="dxa"/>
            <w:tcBorders>
              <w:top w:val="outset" w:sz="6" w:space="0" w:color="auto"/>
              <w:left w:val="outset" w:sz="6" w:space="0" w:color="auto"/>
              <w:bottom w:val="outset" w:sz="6" w:space="0" w:color="auto"/>
              <w:right w:val="outset" w:sz="6" w:space="0" w:color="auto"/>
            </w:tcBorders>
            <w:vAlign w:val="center"/>
            <w:hideMark/>
          </w:tcPr>
          <w:p w14:paraId="1B9A322E" w14:textId="77777777" w:rsidR="00EA7DF2" w:rsidRPr="00EA7DF2" w:rsidRDefault="00EA7DF2" w:rsidP="00EA7DF2">
            <w:pPr>
              <w:rPr>
                <w:rFonts w:ascii="Times New Roman" w:eastAsia="Times New Roman" w:hAnsi="Times New Roman" w:cs="Times New Roman"/>
                <w:lang w:eastAsia="sv-SE"/>
              </w:rPr>
            </w:pPr>
            <w:proofErr w:type="spellStart"/>
            <w:r w:rsidRPr="00EA7DF2">
              <w:rPr>
                <w:rFonts w:ascii="Times New Roman" w:eastAsia="Times New Roman" w:hAnsi="Times New Roman" w:cs="Times New Roman"/>
                <w:lang w:eastAsia="sv-SE"/>
              </w:rPr>
              <w:t>Krisförsäkring</w:t>
            </w:r>
            <w:proofErr w:type="spellEnd"/>
            <w:r w:rsidRPr="00EA7DF2">
              <w:rPr>
                <w:rFonts w:ascii="Times New Roman" w:eastAsia="Times New Roman" w:hAnsi="Times New Roman" w:cs="Times New Roman"/>
                <w:lang w:eastAsia="sv-SE"/>
              </w:rPr>
              <w:t>  </w:t>
            </w:r>
          </w:p>
        </w:tc>
        <w:tc>
          <w:tcPr>
            <w:tcW w:w="4988" w:type="dxa"/>
            <w:tcBorders>
              <w:top w:val="outset" w:sz="6" w:space="0" w:color="auto"/>
              <w:left w:val="outset" w:sz="6" w:space="0" w:color="auto"/>
              <w:bottom w:val="outset" w:sz="6" w:space="0" w:color="auto"/>
              <w:right w:val="outset" w:sz="6" w:space="0" w:color="auto"/>
            </w:tcBorders>
            <w:vAlign w:val="center"/>
            <w:hideMark/>
          </w:tcPr>
          <w:p w14:paraId="0583C0D8" w14:textId="77777777" w:rsidR="00EA7DF2" w:rsidRPr="00EA7DF2" w:rsidRDefault="00EA7DF2" w:rsidP="00EA7DF2">
            <w:pPr>
              <w:rPr>
                <w:rFonts w:ascii="Times New Roman" w:eastAsia="Times New Roman" w:hAnsi="Times New Roman" w:cs="Times New Roman"/>
                <w:lang w:eastAsia="sv-SE"/>
              </w:rPr>
            </w:pPr>
            <w:r w:rsidRPr="00EA7DF2">
              <w:rPr>
                <w:rFonts w:ascii="Times New Roman" w:eastAsia="Times New Roman" w:hAnsi="Times New Roman" w:cs="Times New Roman"/>
                <w:lang w:eastAsia="sv-SE"/>
              </w:rPr>
              <w:t>Högst 15 behandlingstillfällen</w:t>
            </w:r>
          </w:p>
        </w:tc>
      </w:tr>
    </w:tbl>
    <w:p w14:paraId="01820289"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i/>
          <w:iCs/>
          <w:color w:val="222222"/>
          <w:sz w:val="27"/>
          <w:szCs w:val="27"/>
          <w:lang w:eastAsia="sv-SE"/>
        </w:rPr>
        <w:t>Prisbasbeloppet för </w:t>
      </w:r>
      <w:r w:rsidRPr="00EA7DF2">
        <w:rPr>
          <w:rFonts w:ascii="Arial" w:eastAsia="Times New Roman" w:hAnsi="Arial" w:cs="Arial"/>
          <w:b/>
          <w:bCs/>
          <w:i/>
          <w:iCs/>
          <w:color w:val="222222"/>
          <w:sz w:val="27"/>
          <w:szCs w:val="27"/>
          <w:lang w:eastAsia="sv-SE"/>
        </w:rPr>
        <w:t>2023</w:t>
      </w:r>
      <w:r w:rsidRPr="00EA7DF2">
        <w:rPr>
          <w:rFonts w:ascii="Arial" w:eastAsia="Times New Roman" w:hAnsi="Arial" w:cs="Arial"/>
          <w:i/>
          <w:iCs/>
          <w:color w:val="222222"/>
          <w:sz w:val="27"/>
          <w:szCs w:val="27"/>
          <w:lang w:eastAsia="sv-SE"/>
        </w:rPr>
        <w:t> är 52 500 kr och för </w:t>
      </w:r>
      <w:r w:rsidRPr="00EA7DF2">
        <w:rPr>
          <w:rFonts w:ascii="Arial" w:eastAsia="Times New Roman" w:hAnsi="Arial" w:cs="Arial"/>
          <w:b/>
          <w:bCs/>
          <w:i/>
          <w:iCs/>
          <w:color w:val="222222"/>
          <w:sz w:val="27"/>
          <w:szCs w:val="27"/>
          <w:lang w:eastAsia="sv-SE"/>
        </w:rPr>
        <w:t>2024</w:t>
      </w:r>
      <w:r w:rsidRPr="00EA7DF2">
        <w:rPr>
          <w:rFonts w:ascii="Arial" w:eastAsia="Times New Roman" w:hAnsi="Arial" w:cs="Arial"/>
          <w:i/>
          <w:iCs/>
          <w:color w:val="222222"/>
          <w:sz w:val="27"/>
          <w:szCs w:val="27"/>
          <w:lang w:eastAsia="sv-SE"/>
        </w:rPr>
        <w:t> 57 300 kr.</w:t>
      </w:r>
    </w:p>
    <w:p w14:paraId="73A7E2E3"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b/>
          <w:bCs/>
          <w:color w:val="222222"/>
          <w:sz w:val="27"/>
          <w:szCs w:val="27"/>
          <w:lang w:eastAsia="sv-SE"/>
        </w:rPr>
        <w:t>Akutersättning</w:t>
      </w:r>
    </w:p>
    <w:p w14:paraId="0AB80340"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 xml:space="preserve">Akutersättningen betalar till viss del dina vård- och resekostnader, när du p g a skadan besöker läkare eller går till fysioterapeut/ sjukgymnastik. Ersättningens storlek avgörs av vilken sorts skada du råkat ut för (skadans </w:t>
      </w:r>
      <w:r w:rsidRPr="00EA7DF2">
        <w:rPr>
          <w:rFonts w:ascii="Arial" w:eastAsia="Times New Roman" w:hAnsi="Arial" w:cs="Arial"/>
          <w:color w:val="222222"/>
          <w:sz w:val="27"/>
          <w:szCs w:val="27"/>
          <w:lang w:eastAsia="sv-SE"/>
        </w:rPr>
        <w:lastRenderedPageBreak/>
        <w:t>diagnos). Det innebär att du inte alltid kan räkna med att få full ersättning för utlägg. Kom ihåg att du behöver redovisa alla dina utlägg till oss från och med det första läkarbesöket. Den högsta ersättningen du kan få för varje skada är 5 000kr. Akutersättningen ersätter inte förlorad arbetsförtjänst eller taxiresor till och från arbetet eller skolan.</w:t>
      </w:r>
    </w:p>
    <w:p w14:paraId="506152BD"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Vid olycksfallsskada kan ersättning även lämnas för idrottsutrustning och kläder som sjukvårdspersonal klippt sönder i samband med vård. Högsta ersättning är 15 % av ett prisbasbelopp med undantag för hjälmar.</w:t>
      </w:r>
    </w:p>
    <w:p w14:paraId="40B0081C"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b/>
          <w:bCs/>
          <w:color w:val="222222"/>
          <w:sz w:val="27"/>
          <w:szCs w:val="27"/>
          <w:lang w:eastAsia="sv-SE"/>
        </w:rPr>
        <w:t>Självrisk</w:t>
      </w:r>
    </w:p>
    <w:p w14:paraId="3C33DFC8"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För akutersättning gäller försäkringen med en självrisk på 500 kr vid varje skadetillfälle.</w:t>
      </w:r>
    </w:p>
    <w:p w14:paraId="2D1CCBAE"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För sönderklippta kläder / utrustning i samband med vård gäller försäkringen med en självrisk om 2 200 kr för varje skadetillfälle.</w:t>
      </w:r>
    </w:p>
    <w:p w14:paraId="44BEABC0"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b/>
          <w:bCs/>
          <w:color w:val="222222"/>
          <w:sz w:val="27"/>
          <w:szCs w:val="27"/>
          <w:lang w:eastAsia="sv-SE"/>
        </w:rPr>
        <w:t>Tandskadekostnader</w:t>
      </w:r>
    </w:p>
    <w:p w14:paraId="61CFC0E9"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 xml:space="preserve">Ersättning lämnas för kostnader för nödvändig behandling av tand eller tandprotes som skadas i munnen. Om det redan vid skadetillfället förelåg/fanns ett tandbehandlingsbehov vad avser de skadade tänderna har </w:t>
      </w:r>
      <w:proofErr w:type="spellStart"/>
      <w:r w:rsidRPr="00EA7DF2">
        <w:rPr>
          <w:rFonts w:ascii="Arial" w:eastAsia="Times New Roman" w:hAnsi="Arial" w:cs="Arial"/>
          <w:color w:val="222222"/>
          <w:sz w:val="27"/>
          <w:szCs w:val="27"/>
          <w:lang w:eastAsia="sv-SE"/>
        </w:rPr>
        <w:t>Gjensidige</w:t>
      </w:r>
      <w:proofErr w:type="spellEnd"/>
      <w:r w:rsidRPr="00EA7DF2">
        <w:rPr>
          <w:rFonts w:ascii="Arial" w:eastAsia="Times New Roman" w:hAnsi="Arial" w:cs="Arial"/>
          <w:color w:val="222222"/>
          <w:sz w:val="27"/>
          <w:szCs w:val="27"/>
          <w:lang w:eastAsia="sv-SE"/>
        </w:rPr>
        <w:t xml:space="preserve"> rätt att i skälig omfattning delvis eller helt nedsätta ersättningens storlek.</w:t>
      </w:r>
    </w:p>
    <w:p w14:paraId="7A289484"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Försäkringen lämnar ersättning för behandling som omfattas av statligt tandvårdsstöd . För tandvård hos tandläkare som inte är ansluten till Försäkringskassan kan försäkringen ersätta upp till den avgift som den skadade skulle ha haft om tandläkaren varit ansluten till Försäkringskassan</w:t>
      </w:r>
    </w:p>
    <w:p w14:paraId="01D67F0C"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För att kostnaderna ska kunna ersättas måste de ha uppkommit inom fem år från skadetillfället.</w:t>
      </w:r>
    </w:p>
    <w:p w14:paraId="1CD4A2D6"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 xml:space="preserve">Slutbehandling kan skjutas upp till efter 25 års ålder under förutsättning att </w:t>
      </w:r>
      <w:proofErr w:type="spellStart"/>
      <w:r w:rsidRPr="00EA7DF2">
        <w:rPr>
          <w:rFonts w:ascii="Arial" w:eastAsia="Times New Roman" w:hAnsi="Arial" w:cs="Arial"/>
          <w:color w:val="222222"/>
          <w:sz w:val="27"/>
          <w:szCs w:val="27"/>
          <w:lang w:eastAsia="sv-SE"/>
        </w:rPr>
        <w:t>Gjensidige</w:t>
      </w:r>
      <w:proofErr w:type="spellEnd"/>
      <w:r w:rsidRPr="00EA7DF2">
        <w:rPr>
          <w:rFonts w:ascii="Arial" w:eastAsia="Times New Roman" w:hAnsi="Arial" w:cs="Arial"/>
          <w:color w:val="222222"/>
          <w:sz w:val="27"/>
          <w:szCs w:val="27"/>
          <w:lang w:eastAsia="sv-SE"/>
        </w:rPr>
        <w:t xml:space="preserve"> innan den försäkrade fyllt 25 år godkänt den uppskjutna behandlingen.</w:t>
      </w:r>
    </w:p>
    <w:p w14:paraId="2477BD6B"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Uppskjuten behandling måste avslutas innan den försäkrade fyller 30 år.</w:t>
      </w:r>
    </w:p>
    <w:p w14:paraId="20AA7BE7"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Högsta sammanlagda ersättningsbelopp per skada är alltid ett prisprisbasbelopp oavsett Folktandvårdens prislista.</w:t>
      </w:r>
    </w:p>
    <w:p w14:paraId="47601214"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 xml:space="preserve">Samtliga kostnader ska vara godkända av </w:t>
      </w:r>
      <w:proofErr w:type="spellStart"/>
      <w:r w:rsidRPr="00EA7DF2">
        <w:rPr>
          <w:rFonts w:ascii="Arial" w:eastAsia="Times New Roman" w:hAnsi="Arial" w:cs="Arial"/>
          <w:color w:val="222222"/>
          <w:sz w:val="27"/>
          <w:szCs w:val="27"/>
          <w:lang w:eastAsia="sv-SE"/>
        </w:rPr>
        <w:t>Gjensidige</w:t>
      </w:r>
      <w:proofErr w:type="spellEnd"/>
      <w:r w:rsidRPr="00EA7DF2">
        <w:rPr>
          <w:rFonts w:ascii="Arial" w:eastAsia="Times New Roman" w:hAnsi="Arial" w:cs="Arial"/>
          <w:color w:val="222222"/>
          <w:sz w:val="27"/>
          <w:szCs w:val="27"/>
          <w:lang w:eastAsia="sv-SE"/>
        </w:rPr>
        <w:t xml:space="preserve"> innan behandlingen påbörjas. </w:t>
      </w:r>
    </w:p>
    <w:p w14:paraId="4BA255D8"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lastRenderedPageBreak/>
        <w:t>Högsta ersättning vid skada är ett prisbasbelopp.</w:t>
      </w:r>
    </w:p>
    <w:p w14:paraId="2DC40B5F"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b/>
          <w:bCs/>
          <w:color w:val="222222"/>
          <w:sz w:val="27"/>
          <w:szCs w:val="27"/>
          <w:lang w:eastAsia="sv-SE"/>
        </w:rPr>
        <w:t>Självrisk </w:t>
      </w:r>
    </w:p>
    <w:p w14:paraId="54F5156D"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För försäkrade gäller Svenska Ishockeyförbundets tävlingsbestämmelser (paragraf 1:10) om att använda tandskydd som är tillverkade av tandläkare/tandklinik. I händelse av skada ska den försäkrade kunna stryka att tandskydd har använts vid skadetillfället. Den försäkrade ska även kunna uppvisa ett intyg utfärdat av tandläkare som styrker innehavet av tandskydd. Om försäkrad ej uppfyller ovanstående gäller försäkringen med en självrisk på 10% av prisbasbeloppet vid varje tillfälle.</w:t>
      </w:r>
    </w:p>
    <w:p w14:paraId="5943CF3D"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b/>
          <w:bCs/>
          <w:color w:val="222222"/>
          <w:sz w:val="27"/>
          <w:szCs w:val="27"/>
          <w:lang w:eastAsia="sv-SE"/>
        </w:rPr>
        <w:t>Medicinsk Invaliditet</w:t>
      </w:r>
    </w:p>
    <w:p w14:paraId="19722C6E"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Du kan få ersättning om du får bestående besvär på grund av en olycksfallsskada (medicinsk invaliditet). De bestående besvären bedöms, och en invaliditetsgrad bestäms, med hjälp av en tabell.</w:t>
      </w:r>
    </w:p>
    <w:p w14:paraId="4C1F468F" w14:textId="77777777" w:rsidR="00EA7DF2" w:rsidRPr="00EA7DF2" w:rsidRDefault="00EA7DF2" w:rsidP="00EA7DF2">
      <w:pPr>
        <w:numPr>
          <w:ilvl w:val="0"/>
          <w:numId w:val="5"/>
        </w:numPr>
        <w:shd w:val="clear" w:color="auto" w:fill="FFFFFF"/>
        <w:spacing w:before="100" w:beforeAutospacing="1"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Då invaliditetsgraden är lägre än 6 % utbetalas 3 500 kr </w:t>
      </w:r>
    </w:p>
    <w:p w14:paraId="66E2CA8B" w14:textId="77777777" w:rsidR="00EA7DF2" w:rsidRPr="00EA7DF2" w:rsidRDefault="00EA7DF2" w:rsidP="00EA7DF2">
      <w:pPr>
        <w:numPr>
          <w:ilvl w:val="0"/>
          <w:numId w:val="6"/>
        </w:numPr>
        <w:shd w:val="clear" w:color="auto" w:fill="FFFFFF"/>
        <w:spacing w:before="100" w:beforeAutospacing="1"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För skador som är bedömda till mellan 6 % och 74 % utbetalas så stor del av försäkringsbeloppet som motsvarar invaliditetsgraden.</w:t>
      </w:r>
    </w:p>
    <w:p w14:paraId="2581143C" w14:textId="77777777" w:rsidR="00EA7DF2" w:rsidRPr="00EA7DF2" w:rsidRDefault="00EA7DF2" w:rsidP="00EA7DF2">
      <w:pPr>
        <w:numPr>
          <w:ilvl w:val="0"/>
          <w:numId w:val="7"/>
        </w:numPr>
        <w:shd w:val="clear" w:color="auto" w:fill="FFFFFF"/>
        <w:spacing w:before="100" w:beforeAutospacing="1"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För skador bedömda till 75 % eller högre utbetalas dubbelt försäkringsbelopp.</w:t>
      </w:r>
    </w:p>
    <w:p w14:paraId="63F1FE30"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Du kan inte få någon ersättning om de bestående besvären kommit senare än fem år från skadedagen.</w:t>
      </w:r>
    </w:p>
    <w:p w14:paraId="55B160B6"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b/>
          <w:bCs/>
          <w:color w:val="222222"/>
          <w:sz w:val="27"/>
          <w:szCs w:val="27"/>
          <w:lang w:eastAsia="sv-SE"/>
        </w:rPr>
        <w:t>Dödsfallsersättning</w:t>
      </w:r>
    </w:p>
    <w:p w14:paraId="10D807D4"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Försäkringen gäller om du avlider på grund av en olycksfallsskada. Försäkringsbeloppet utbetalas till dina efterlevande enligt generella regler om förmånstagare där make/sambo kommer i första hand. De generella reglerna gäller inte om du skickat in ett särskilt önskemål till oss om vem som ska få en eventuell utbetalning.</w:t>
      </w:r>
    </w:p>
    <w:p w14:paraId="4AB0FE19"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proofErr w:type="spellStart"/>
      <w:r w:rsidRPr="00EA7DF2">
        <w:rPr>
          <w:rFonts w:ascii="Arial" w:eastAsia="Times New Roman" w:hAnsi="Arial" w:cs="Arial"/>
          <w:b/>
          <w:bCs/>
          <w:color w:val="222222"/>
          <w:sz w:val="27"/>
          <w:szCs w:val="27"/>
          <w:lang w:eastAsia="sv-SE"/>
        </w:rPr>
        <w:t>Krisförsäkring</w:t>
      </w:r>
      <w:proofErr w:type="spellEnd"/>
      <w:r w:rsidRPr="00EA7DF2">
        <w:rPr>
          <w:rFonts w:ascii="Arial" w:eastAsia="Times New Roman" w:hAnsi="Arial" w:cs="Arial"/>
          <w:b/>
          <w:bCs/>
          <w:color w:val="222222"/>
          <w:sz w:val="27"/>
          <w:szCs w:val="27"/>
          <w:lang w:eastAsia="sv-SE"/>
        </w:rPr>
        <w:t> </w:t>
      </w:r>
    </w:p>
    <w:p w14:paraId="0310D3C3"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Försäkringen gäller för kristerapi efter traumatisk händelse eller mobbing som försäkrad råkar ut för eller är närvarande vid. Försäkringen ersätter kostnader för kristerapi med högst femton behandlingstillfällen per försäkrad och skada.</w:t>
      </w:r>
    </w:p>
    <w:p w14:paraId="379888AD"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b/>
          <w:bCs/>
          <w:color w:val="222222"/>
          <w:sz w:val="27"/>
          <w:szCs w:val="27"/>
          <w:lang w:eastAsia="sv-SE"/>
        </w:rPr>
        <w:t>Aktiv vård</w:t>
      </w:r>
    </w:p>
    <w:p w14:paraId="71C02E76"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lastRenderedPageBreak/>
        <w:t>Telefonrådgivning med legitimerad sjukvårdspersonal – sjuksystrar och fysioterapeuter - i samband med symptom och/eller skada. (Telefonrådgivning obegränsat i antal och utan självrisk) </w:t>
      </w:r>
    </w:p>
    <w:p w14:paraId="74C35EFF"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Rådgivningen ger inte automatisk rätt till vård, men erfarenhet visar att samtal med professionell kompetens som kan ge råd och stöd för exempelvis hemmaträning kan bidra till att skadan blir mindre allvarlig. </w:t>
      </w:r>
    </w:p>
    <w:p w14:paraId="06205FD7"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Som tillägg ges möjlighet att vid behov komplettera ovan rådgivning med vård av legitimerade fysioterapeuter. (Tre behandlingar med en självrisk på 200 kr per behandling)</w:t>
      </w:r>
    </w:p>
    <w:p w14:paraId="230970AE"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b/>
          <w:bCs/>
          <w:color w:val="222222"/>
          <w:sz w:val="27"/>
          <w:szCs w:val="27"/>
          <w:lang w:eastAsia="sv-SE"/>
        </w:rPr>
        <w:t>Så här gör du om du skadar dig?</w:t>
      </w:r>
    </w:p>
    <w:p w14:paraId="3C34982E" w14:textId="77777777" w:rsidR="00EA7DF2" w:rsidRPr="00EA7DF2" w:rsidRDefault="00EA7DF2" w:rsidP="00EA7DF2">
      <w:pPr>
        <w:shd w:val="clear" w:color="auto" w:fill="FFFFFF"/>
        <w:spacing w:after="100" w:afterAutospacing="1"/>
        <w:rPr>
          <w:rFonts w:ascii="Arial" w:eastAsia="Times New Roman" w:hAnsi="Arial" w:cs="Arial"/>
          <w:color w:val="222222"/>
          <w:sz w:val="27"/>
          <w:szCs w:val="27"/>
          <w:lang w:eastAsia="sv-SE"/>
        </w:rPr>
      </w:pPr>
      <w:r w:rsidRPr="00EA7DF2">
        <w:rPr>
          <w:rFonts w:ascii="Arial" w:eastAsia="Times New Roman" w:hAnsi="Arial" w:cs="Arial"/>
          <w:color w:val="222222"/>
          <w:sz w:val="27"/>
          <w:szCs w:val="27"/>
          <w:lang w:eastAsia="sv-SE"/>
        </w:rPr>
        <w:t>Skada anmäler du på www.gjensidige.se/ishockey, eller mailar ishockey@gjensidige.se</w:t>
      </w:r>
    </w:p>
    <w:p w14:paraId="48BEF5CD" w14:textId="77777777" w:rsidR="00EA7DF2" w:rsidRPr="00EA7DF2" w:rsidRDefault="00EA7DF2" w:rsidP="00EA7DF2">
      <w:pPr>
        <w:rPr>
          <w:rFonts w:ascii="Times New Roman" w:eastAsia="Times New Roman" w:hAnsi="Times New Roman" w:cs="Times New Roman"/>
          <w:lang w:eastAsia="sv-SE"/>
        </w:rPr>
      </w:pPr>
    </w:p>
    <w:p w14:paraId="0646FE94" w14:textId="77777777" w:rsidR="00EA7DF2" w:rsidRDefault="00EA7DF2"/>
    <w:sectPr w:rsidR="00EA7DF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var(--primary-font-family)">
    <w:altName w:val="Cambria"/>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B5DD8"/>
    <w:multiLevelType w:val="multilevel"/>
    <w:tmpl w:val="D1EA9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FE2F20"/>
    <w:multiLevelType w:val="multilevel"/>
    <w:tmpl w:val="467C9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58221D"/>
    <w:multiLevelType w:val="multilevel"/>
    <w:tmpl w:val="D320F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353EE3"/>
    <w:multiLevelType w:val="multilevel"/>
    <w:tmpl w:val="7486B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B30269"/>
    <w:multiLevelType w:val="multilevel"/>
    <w:tmpl w:val="45287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B01E5C"/>
    <w:multiLevelType w:val="multilevel"/>
    <w:tmpl w:val="B4B07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3725AC"/>
    <w:multiLevelType w:val="multilevel"/>
    <w:tmpl w:val="E836D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773372">
    <w:abstractNumId w:val="5"/>
  </w:num>
  <w:num w:numId="2" w16cid:durableId="599877445">
    <w:abstractNumId w:val="4"/>
  </w:num>
  <w:num w:numId="3" w16cid:durableId="856893">
    <w:abstractNumId w:val="0"/>
  </w:num>
  <w:num w:numId="4" w16cid:durableId="747775118">
    <w:abstractNumId w:val="6"/>
  </w:num>
  <w:num w:numId="5" w16cid:durableId="402988884">
    <w:abstractNumId w:val="1"/>
  </w:num>
  <w:num w:numId="6" w16cid:durableId="417099427">
    <w:abstractNumId w:val="2"/>
  </w:num>
  <w:num w:numId="7" w16cid:durableId="11201037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DF2"/>
    <w:rsid w:val="00EA7DF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7E17BF6F"/>
  <w15:chartTrackingRefBased/>
  <w15:docId w15:val="{45948024-FD45-AA4B-BC60-76555FB52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link w:val="Rubrik1Char"/>
    <w:uiPriority w:val="9"/>
    <w:qFormat/>
    <w:rsid w:val="00EA7DF2"/>
    <w:pPr>
      <w:spacing w:before="100" w:beforeAutospacing="1" w:after="100" w:afterAutospacing="1"/>
      <w:outlineLvl w:val="0"/>
    </w:pPr>
    <w:rPr>
      <w:rFonts w:ascii="Times New Roman" w:eastAsia="Times New Roman" w:hAnsi="Times New Roman" w:cs="Times New Roman"/>
      <w:b/>
      <w:bCs/>
      <w:kern w:val="36"/>
      <w:sz w:val="48"/>
      <w:szCs w:val="48"/>
      <w:lang w:eastAsia="sv-SE"/>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EA7DF2"/>
    <w:rPr>
      <w:rFonts w:ascii="Times New Roman" w:eastAsia="Times New Roman" w:hAnsi="Times New Roman" w:cs="Times New Roman"/>
      <w:b/>
      <w:bCs/>
      <w:kern w:val="36"/>
      <w:sz w:val="48"/>
      <w:szCs w:val="48"/>
      <w:lang w:eastAsia="sv-SE"/>
    </w:rPr>
  </w:style>
  <w:style w:type="paragraph" w:styleId="Normalwebb">
    <w:name w:val="Normal (Web)"/>
    <w:basedOn w:val="Normal"/>
    <w:uiPriority w:val="99"/>
    <w:semiHidden/>
    <w:unhideWhenUsed/>
    <w:rsid w:val="00EA7DF2"/>
    <w:pPr>
      <w:spacing w:before="100" w:beforeAutospacing="1" w:after="100" w:afterAutospacing="1"/>
    </w:pPr>
    <w:rPr>
      <w:rFonts w:ascii="Times New Roman" w:eastAsia="Times New Roman" w:hAnsi="Times New Roman" w:cs="Times New Roman"/>
      <w:lang w:eastAsia="sv-SE"/>
    </w:rPr>
  </w:style>
  <w:style w:type="character" w:styleId="Stark">
    <w:name w:val="Strong"/>
    <w:basedOn w:val="Standardstycketeckensnitt"/>
    <w:uiPriority w:val="22"/>
    <w:qFormat/>
    <w:rsid w:val="00EA7DF2"/>
    <w:rPr>
      <w:b/>
      <w:bCs/>
    </w:rPr>
  </w:style>
  <w:style w:type="character" w:styleId="Hyperlnk">
    <w:name w:val="Hyperlink"/>
    <w:basedOn w:val="Standardstycketeckensnitt"/>
    <w:uiPriority w:val="99"/>
    <w:semiHidden/>
    <w:unhideWhenUsed/>
    <w:rsid w:val="00EA7DF2"/>
    <w:rPr>
      <w:color w:val="0000FF"/>
      <w:u w:val="single"/>
    </w:rPr>
  </w:style>
  <w:style w:type="character" w:styleId="Betoning">
    <w:name w:val="Emphasis"/>
    <w:basedOn w:val="Standardstycketeckensnitt"/>
    <w:uiPriority w:val="20"/>
    <w:qFormat/>
    <w:rsid w:val="00EA7DF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589594">
      <w:bodyDiv w:val="1"/>
      <w:marLeft w:val="0"/>
      <w:marRight w:val="0"/>
      <w:marTop w:val="0"/>
      <w:marBottom w:val="0"/>
      <w:divBdr>
        <w:top w:val="none" w:sz="0" w:space="0" w:color="auto"/>
        <w:left w:val="none" w:sz="0" w:space="0" w:color="auto"/>
        <w:bottom w:val="none" w:sz="0" w:space="0" w:color="auto"/>
        <w:right w:val="none" w:sz="0" w:space="0" w:color="auto"/>
      </w:divBdr>
      <w:divsChild>
        <w:div w:id="1913193075">
          <w:marLeft w:val="0"/>
          <w:marRight w:val="0"/>
          <w:marTop w:val="0"/>
          <w:marBottom w:val="0"/>
          <w:divBdr>
            <w:top w:val="none" w:sz="0" w:space="0" w:color="auto"/>
            <w:left w:val="none" w:sz="0" w:space="0" w:color="auto"/>
            <w:bottom w:val="none" w:sz="0" w:space="0" w:color="auto"/>
            <w:right w:val="none" w:sz="0" w:space="0" w:color="auto"/>
          </w:divBdr>
          <w:divsChild>
            <w:div w:id="88985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portforsakringar.se/" TargetMode="External"/><Relationship Id="rId5" Type="http://schemas.openxmlformats.org/officeDocument/2006/relationships/hyperlink" Target="http://www.gjensidige.se/ishockey"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1436</Words>
  <Characters>7611</Characters>
  <Application>Microsoft Office Word</Application>
  <DocSecurity>0</DocSecurity>
  <Lines>63</Lines>
  <Paragraphs>18</Paragraphs>
  <ScaleCrop>false</ScaleCrop>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2024-09-10T16:46:00Z</dcterms:created>
  <dcterms:modified xsi:type="dcterms:W3CDTF">2024-09-10T16:47:00Z</dcterms:modified>
</cp:coreProperties>
</file>